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 w:eastAsia="Arial"/>
          <w:b/>
          <w:color w:val="153A91"/>
          <w:sz w:val="40"/>
        </w:rPr>
        <w:t>Тестовое задание по РКМ и ГОЗ</w:t>
      </w:r>
    </w:p>
    <w:p>
      <w:pPr>
        <w:jc w:val="center"/>
      </w:pPr>
      <w:r>
        <w:t>Тест с вариантами ответов по обоснованию затрат в расчетно-калькуляционных материалах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2268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20"/>
              </w:rPr>
              <w:t>ФИО</w:t>
            </w:r>
          </w:p>
        </w:tc>
        <w:tc>
          <w:tcPr>
            <w:tcW w:type="dxa" w:w="6803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20"/>
              </w:rPr>
              <w:t>______________________________________________________________________</w:t>
            </w:r>
          </w:p>
        </w:tc>
      </w:tr>
      <w:tr>
        <w:tc>
          <w:tcPr>
            <w:tcW w:type="dxa" w:w="2268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20"/>
              </w:rPr>
              <w:t>Группа / должность</w:t>
            </w:r>
          </w:p>
        </w:tc>
        <w:tc>
          <w:tcPr>
            <w:tcW w:type="dxa" w:w="6803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20"/>
              </w:rPr>
              <w:t>______________________________________________________________________</w:t>
            </w:r>
          </w:p>
        </w:tc>
      </w:tr>
      <w:tr>
        <w:tc>
          <w:tcPr>
            <w:tcW w:type="dxa" w:w="2268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20"/>
              </w:rPr>
              <w:t>Дата</w:t>
            </w:r>
          </w:p>
        </w:tc>
        <w:tc>
          <w:tcPr>
            <w:tcW w:type="dxa" w:w="6803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20"/>
              </w:rPr>
              <w:t>______________________________________________________________________</w:t>
            </w:r>
          </w:p>
        </w:tc>
      </w:tr>
    </w:tbl>
    <w:p>
      <w:pPr>
        <w:pStyle w:val="Heading1"/>
      </w:pPr>
      <w:r>
        <w:t>Инструкция</w:t>
      </w:r>
    </w:p>
    <w:p>
      <w:r>
        <w:t>Выберите один правильный вариант ответа в каждом вопросе. Максимальный результат - 8 баллов.</w:t>
      </w:r>
    </w:p>
    <w:p>
      <w:pPr>
        <w:pStyle w:val="Heading1"/>
      </w:pPr>
      <w:r>
        <w:t>1. Какой федеральный закон является базовым для регулирования отношений в сфере ГОЗ?</w:t>
      </w:r>
    </w:p>
    <w:p>
      <w:r>
        <w:t>[ ] А) Федеральный закон N 44-ФЗ о контрактной системе</w:t>
      </w:r>
    </w:p>
    <w:p>
      <w:r>
        <w:t>[ ] Б) Федеральный закон N 275-ФЗ о государственном оборонном заказе</w:t>
      </w:r>
    </w:p>
    <w:p>
      <w:r>
        <w:t>[ ] В) Федеральный закон N 223-ФЗ о закупках отдельными видами юридических лиц</w:t>
      </w:r>
    </w:p>
    <w:p>
      <w:r>
        <w:t>[ ] Г) Федеральный закон N 402-ФЗ о бухгалтерском учете</w:t>
      </w:r>
    </w:p>
    <w:p>
      <w:pPr>
        <w:pStyle w:val="Heading1"/>
      </w:pPr>
      <w:r>
        <w:t>2. Какие виды цен применяются при поставках продукции по ГОЗ?</w:t>
      </w:r>
    </w:p>
    <w:p>
      <w:r>
        <w:t>[ ] А) Только твердая и только рыночная цена</w:t>
      </w:r>
    </w:p>
    <w:p>
      <w:r>
        <w:t>[ ] Б) Ориентировочная, фиксированная и цена, возмещающая издержки</w:t>
      </w:r>
    </w:p>
    <w:p>
      <w:r>
        <w:t>[ ] В) Розничная, оптовая и биржевая цена</w:t>
      </w:r>
    </w:p>
    <w:p>
      <w:r>
        <w:t>[ ] Г) Начальная, минимальная и демпинговая цена</w:t>
      </w:r>
    </w:p>
    <w:p>
      <w:pPr>
        <w:pStyle w:val="Heading1"/>
      </w:pPr>
      <w:r>
        <w:t>3. Чем прямые затраты отличаются от косвенных?</w:t>
      </w:r>
    </w:p>
    <w:p>
      <w:r>
        <w:t>[ ] А) Прямые затраты можно отнести на конкретное изделие или контракт, а косвенные распределяются по обоснованной базе</w:t>
      </w:r>
    </w:p>
    <w:p>
      <w:r>
        <w:t>[ ] Б) Прямые затраты всегда меньше косвенных</w:t>
      </w:r>
    </w:p>
    <w:p>
      <w:r>
        <w:t>[ ] В) Косвенные затраты не включаются в цену продукции</w:t>
      </w:r>
    </w:p>
    <w:p>
      <w:r>
        <w:t>[ ] Г) Прямые затраты возникают только после завершения контракта</w:t>
      </w:r>
    </w:p>
    <w:p>
      <w:pPr>
        <w:pStyle w:val="Heading1"/>
      </w:pPr>
      <w:r>
        <w:t>4. Какие документы подтверждают обоснованность включения затрат в цену?</w:t>
      </w:r>
    </w:p>
    <w:p>
      <w:r>
        <w:t>[ ] А) Любая внутренняя справка без расчетов</w:t>
      </w:r>
    </w:p>
    <w:p>
      <w:r>
        <w:t>[ ] Б) Только итоговая калькуляция без первичных документов</w:t>
      </w:r>
    </w:p>
    <w:p>
      <w:r>
        <w:t>[ ] В) Первичные документы, договоры, счета, спецификации, технические и расчетные материалы</w:t>
      </w:r>
    </w:p>
    <w:p>
      <w:r>
        <w:t>[ ] Г) Только устное пояснение экономиста</w:t>
      </w:r>
    </w:p>
    <w:p>
      <w:pPr>
        <w:pStyle w:val="Heading1"/>
      </w:pPr>
      <w:r>
        <w:t>5. Что такое расчетно-калькуляционные материалы и зачем они нужны?</w:t>
      </w:r>
    </w:p>
    <w:p>
      <w:r>
        <w:t>[ ] А) Комплект расчетов и обоснований, раскрывающий структуру цены и состав затрат</w:t>
      </w:r>
    </w:p>
    <w:p>
      <w:r>
        <w:t>[ ] Б) Рекламные материалы о продукции</w:t>
      </w:r>
    </w:p>
    <w:p>
      <w:r>
        <w:t>[ ] В) Только бухгалтерский баланс организации</w:t>
      </w:r>
    </w:p>
    <w:p>
      <w:r>
        <w:t>[ ] Г) Документы, которые заменяют государственный контракт</w:t>
      </w:r>
    </w:p>
    <w:p>
      <w:pPr>
        <w:pStyle w:val="Heading1"/>
      </w:pPr>
      <w:r>
        <w:t>6. Почему раздельный учет важен для подтверждения цены?</w:t>
      </w:r>
    </w:p>
    <w:p>
      <w:r>
        <w:t>[ ] А) Он позволяет смешивать расходы разных контрактов</w:t>
      </w:r>
    </w:p>
    <w:p>
      <w:r>
        <w:t>[ ] Б) Он нужен только для коммерческих закупок</w:t>
      </w:r>
    </w:p>
    <w:p>
      <w:r>
        <w:t>[ ] В) Он заменяет необходимость первичных документов</w:t>
      </w:r>
    </w:p>
    <w:p>
      <w:r>
        <w:t>[ ] Г) Он обеспечивает прослеживаемость затрат и финансового результата по конкретному контракту</w:t>
      </w:r>
    </w:p>
    <w:p>
      <w:pPr>
        <w:pStyle w:val="Heading1"/>
      </w:pPr>
      <w:r>
        <w:t>7. Какие типовые ошибки встречаются при распределении накладных расходов?</w:t>
      </w:r>
    </w:p>
    <w:p>
      <w:r>
        <w:t>[ ] А) Использование необоснованной базы распределения, включение чужих расходов, двойной учет и неверный период</w:t>
      </w:r>
    </w:p>
    <w:p>
      <w:r>
        <w:t>[ ] Б) Распределение только прямых материалов по спецификации</w:t>
      </w:r>
    </w:p>
    <w:p>
      <w:r>
        <w:t>[ ] В) Полное отсутствие расчетов по прямой зарплате</w:t>
      </w:r>
    </w:p>
    <w:p>
      <w:r>
        <w:t>[ ] Г) Применение технического задания вместо калькуляции</w:t>
      </w:r>
    </w:p>
    <w:p>
      <w:pPr>
        <w:pStyle w:val="Heading1"/>
      </w:pPr>
      <w:r>
        <w:t>8. Какие действия специалиста необходимы при выявлении спорной статьи затрат?</w:t>
      </w:r>
    </w:p>
    <w:p>
      <w:r>
        <w:t>[ ] А) Автоматически принять сумму, если она есть в калькуляции</w:t>
      </w:r>
    </w:p>
    <w:p>
      <w:r>
        <w:t>[ ] Б) Запросить подтверждающие документы, оценить обоснованность, пересчитать цену и зафиксировать вывод</w:t>
      </w:r>
    </w:p>
    <w:p>
      <w:r>
        <w:t>[ ] В) Исключить все затраты подряд без анализа</w:t>
      </w:r>
    </w:p>
    <w:p>
      <w:r>
        <w:t>[ ] Г) Перенести спорную сумму в прибыль без пояснений</w:t>
      </w:r>
    </w:p>
    <w:p>
      <w:pPr>
        <w:pStyle w:val="Heading1"/>
      </w:pPr>
      <w:r>
        <w:t>Ключ ответов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1417"/>
            <w:vAlign w:val="top"/>
            <w:shd w:fill="EAF1FF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20"/>
              </w:rPr>
              <w:t>N</w:t>
            </w:r>
          </w:p>
        </w:tc>
        <w:tc>
          <w:tcPr>
            <w:tcW w:type="dxa" w:w="1701"/>
            <w:vAlign w:val="top"/>
            <w:shd w:fill="EAF1FF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20"/>
              </w:rPr>
              <w:t>Ответ</w:t>
            </w:r>
          </w:p>
        </w:tc>
        <w:tc>
          <w:tcPr>
            <w:tcW w:type="dxa" w:w="6236"/>
            <w:vAlign w:val="top"/>
            <w:shd w:fill="EAF1FF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20"/>
              </w:rPr>
              <w:t>Правильный вариант</w:t>
            </w:r>
          </w:p>
        </w:tc>
      </w:tr>
      <w:tr>
        <w:tc>
          <w:tcPr>
            <w:tcW w:type="dxa" w:w="1417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20"/>
              </w:rPr>
              <w:t>1</w:t>
            </w:r>
          </w:p>
        </w:tc>
        <w:tc>
          <w:tcPr>
            <w:tcW w:type="dxa" w:w="1701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20"/>
              </w:rPr>
              <w:t>Б</w:t>
            </w:r>
          </w:p>
        </w:tc>
        <w:tc>
          <w:tcPr>
            <w:tcW w:type="dxa" w:w="6236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20"/>
              </w:rPr>
              <w:t>Федеральный закон N 275-ФЗ о государственном оборонном заказе</w:t>
            </w:r>
          </w:p>
        </w:tc>
      </w:tr>
      <w:tr>
        <w:tc>
          <w:tcPr>
            <w:tcW w:type="dxa" w:w="1417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20"/>
              </w:rPr>
              <w:t>2</w:t>
            </w:r>
          </w:p>
        </w:tc>
        <w:tc>
          <w:tcPr>
            <w:tcW w:type="dxa" w:w="1701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20"/>
              </w:rPr>
              <w:t>Б</w:t>
            </w:r>
          </w:p>
        </w:tc>
        <w:tc>
          <w:tcPr>
            <w:tcW w:type="dxa" w:w="6236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20"/>
              </w:rPr>
              <w:t>Ориентировочная, фиксированная и цена, возмещающая издержки</w:t>
            </w:r>
          </w:p>
        </w:tc>
      </w:tr>
      <w:tr>
        <w:tc>
          <w:tcPr>
            <w:tcW w:type="dxa" w:w="1417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20"/>
              </w:rPr>
              <w:t>3</w:t>
            </w:r>
          </w:p>
        </w:tc>
        <w:tc>
          <w:tcPr>
            <w:tcW w:type="dxa" w:w="1701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20"/>
              </w:rPr>
              <w:t>А</w:t>
            </w:r>
          </w:p>
        </w:tc>
        <w:tc>
          <w:tcPr>
            <w:tcW w:type="dxa" w:w="6236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20"/>
              </w:rPr>
              <w:t>Прямые затраты можно отнести на конкретное изделие или контракт, а косвенные распределяются по обоснованной базе</w:t>
            </w:r>
          </w:p>
        </w:tc>
      </w:tr>
      <w:tr>
        <w:tc>
          <w:tcPr>
            <w:tcW w:type="dxa" w:w="1417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20"/>
              </w:rPr>
              <w:t>4</w:t>
            </w:r>
          </w:p>
        </w:tc>
        <w:tc>
          <w:tcPr>
            <w:tcW w:type="dxa" w:w="1701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20"/>
              </w:rPr>
              <w:t>В</w:t>
            </w:r>
          </w:p>
        </w:tc>
        <w:tc>
          <w:tcPr>
            <w:tcW w:type="dxa" w:w="6236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20"/>
              </w:rPr>
              <w:t>Первичные документы, договоры, счета, спецификации, технические и расчетные материалы</w:t>
            </w:r>
          </w:p>
        </w:tc>
      </w:tr>
      <w:tr>
        <w:tc>
          <w:tcPr>
            <w:tcW w:type="dxa" w:w="1417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20"/>
              </w:rPr>
              <w:t>5</w:t>
            </w:r>
          </w:p>
        </w:tc>
        <w:tc>
          <w:tcPr>
            <w:tcW w:type="dxa" w:w="1701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20"/>
              </w:rPr>
              <w:t>А</w:t>
            </w:r>
          </w:p>
        </w:tc>
        <w:tc>
          <w:tcPr>
            <w:tcW w:type="dxa" w:w="6236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20"/>
              </w:rPr>
              <w:t>Комплект расчетов и обоснований, раскрывающий структуру цены и состав затрат</w:t>
            </w:r>
          </w:p>
        </w:tc>
      </w:tr>
      <w:tr>
        <w:tc>
          <w:tcPr>
            <w:tcW w:type="dxa" w:w="1417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20"/>
              </w:rPr>
              <w:t>6</w:t>
            </w:r>
          </w:p>
        </w:tc>
        <w:tc>
          <w:tcPr>
            <w:tcW w:type="dxa" w:w="1701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20"/>
              </w:rPr>
              <w:t>Г</w:t>
            </w:r>
          </w:p>
        </w:tc>
        <w:tc>
          <w:tcPr>
            <w:tcW w:type="dxa" w:w="6236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20"/>
              </w:rPr>
              <w:t>Он обеспечивает прослеживаемость затрат и финансового результата по конкретному контракту</w:t>
            </w:r>
          </w:p>
        </w:tc>
      </w:tr>
      <w:tr>
        <w:tc>
          <w:tcPr>
            <w:tcW w:type="dxa" w:w="1417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20"/>
              </w:rPr>
              <w:t>7</w:t>
            </w:r>
          </w:p>
        </w:tc>
        <w:tc>
          <w:tcPr>
            <w:tcW w:type="dxa" w:w="1701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20"/>
              </w:rPr>
              <w:t>А</w:t>
            </w:r>
          </w:p>
        </w:tc>
        <w:tc>
          <w:tcPr>
            <w:tcW w:type="dxa" w:w="6236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20"/>
              </w:rPr>
              <w:t>Использование необоснованной базы распределения, включение чужих расходов, двойной учет и неверный период</w:t>
            </w:r>
          </w:p>
        </w:tc>
      </w:tr>
      <w:tr>
        <w:tc>
          <w:tcPr>
            <w:tcW w:type="dxa" w:w="1417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20"/>
              </w:rPr>
              <w:t>8</w:t>
            </w:r>
          </w:p>
        </w:tc>
        <w:tc>
          <w:tcPr>
            <w:tcW w:type="dxa" w:w="1701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20"/>
              </w:rPr>
              <w:t>Б</w:t>
            </w:r>
          </w:p>
        </w:tc>
        <w:tc>
          <w:tcPr>
            <w:tcW w:type="dxa" w:w="6236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20"/>
              </w:rPr>
              <w:t>Запросить подтверждающие документы, оценить обоснованность, пересчитать цену и зафиксировать вывод</w:t>
            </w:r>
          </w:p>
        </w:tc>
      </w:tr>
    </w:tbl>
    <w:p>
      <w:pPr>
        <w:pStyle w:val="Heading1"/>
      </w:pPr>
      <w:r>
        <w:t>Шкала результата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2268"/>
            <w:vAlign w:val="top"/>
            <w:shd w:fill="EAF1FF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20"/>
              </w:rPr>
              <w:t>7-8 баллов</w:t>
            </w:r>
          </w:p>
        </w:tc>
        <w:tc>
          <w:tcPr>
            <w:tcW w:type="dxa" w:w="6803"/>
            <w:vAlign w:val="top"/>
            <w:shd w:fill="EAF1FF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20"/>
              </w:rPr>
              <w:t>Отличный результат.</w:t>
            </w:r>
          </w:p>
        </w:tc>
      </w:tr>
      <w:tr>
        <w:tc>
          <w:tcPr>
            <w:tcW w:type="dxa" w:w="2268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20"/>
              </w:rPr>
              <w:t>5-6 баллов</w:t>
            </w:r>
          </w:p>
        </w:tc>
        <w:tc>
          <w:tcPr>
            <w:tcW w:type="dxa" w:w="6803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20"/>
              </w:rPr>
              <w:t>Хороший результат.</w:t>
            </w:r>
          </w:p>
        </w:tc>
      </w:tr>
      <w:tr>
        <w:tc>
          <w:tcPr>
            <w:tcW w:type="dxa" w:w="2268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20"/>
              </w:rPr>
              <w:t>4 балла</w:t>
            </w:r>
          </w:p>
        </w:tc>
        <w:tc>
          <w:tcPr>
            <w:tcW w:type="dxa" w:w="6803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20"/>
              </w:rPr>
              <w:t>Материал усвоен частично.</w:t>
            </w:r>
          </w:p>
        </w:tc>
      </w:tr>
      <w:tr>
        <w:tc>
          <w:tcPr>
            <w:tcW w:type="dxa" w:w="2268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/>
                <w:sz w:val="20"/>
              </w:rPr>
              <w:t>0-3 балла</w:t>
            </w:r>
          </w:p>
        </w:tc>
        <w:tc>
          <w:tcPr>
            <w:tcW w:type="dxa" w:w="6803"/>
            <w:vAlign w:val="top"/>
          </w:tcPr>
          <w:p>
            <w:r>
              <w:rPr>
                <w:rFonts w:ascii="Arial" w:hAnsi="Arial" w:eastAsia="Arial"/>
                <w:sz w:val="20"/>
              </w:rPr>
            </w:r>
            <w:r>
              <w:rPr>
                <w:rFonts w:ascii="Arial" w:hAnsi="Arial" w:eastAsia="Arial"/>
                <w:b w:val="0"/>
                <w:sz w:val="20"/>
              </w:rPr>
              <w:t>Нужно повторить тему.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Тестовое задание РКМ ГОЗ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53A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